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0CF8" w14:textId="77777777" w:rsidR="000F0C6F" w:rsidRPr="000F0C6F" w:rsidRDefault="000F0C6F" w:rsidP="000F0C6F">
      <w:pPr>
        <w:spacing w:after="0" w:line="240" w:lineRule="auto"/>
        <w:jc w:val="center"/>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OFICIO Nº 1357 [014244]</w:t>
      </w:r>
    </w:p>
    <w:p w14:paraId="070360C3" w14:textId="77777777" w:rsidR="000F0C6F" w:rsidRPr="000F0C6F" w:rsidRDefault="000F0C6F" w:rsidP="000F0C6F">
      <w:pPr>
        <w:spacing w:after="0" w:line="240" w:lineRule="auto"/>
        <w:jc w:val="center"/>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05-06-2019</w:t>
      </w:r>
    </w:p>
    <w:p w14:paraId="27A3C413" w14:textId="77777777" w:rsidR="000F0C6F" w:rsidRPr="000F0C6F" w:rsidRDefault="000F0C6F" w:rsidP="000F0C6F">
      <w:pPr>
        <w:spacing w:after="0" w:line="240" w:lineRule="auto"/>
        <w:jc w:val="center"/>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DIAN</w:t>
      </w:r>
    </w:p>
    <w:p w14:paraId="50A5DF53"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6754581"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BF80AE0"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Subdirección de Gestión Normativa y Doctrina</w:t>
      </w:r>
    </w:p>
    <w:p w14:paraId="55C6293C"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100208221 – 001357</w:t>
      </w:r>
    </w:p>
    <w:p w14:paraId="2E28D849"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Bogotá, D.C.</w:t>
      </w:r>
    </w:p>
    <w:p w14:paraId="6FFE3B2A"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730A183"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Ref:</w:t>
      </w:r>
      <w:r w:rsidRPr="000F0C6F">
        <w:rPr>
          <w:rFonts w:ascii="Times New Roman" w:eastAsia="Times New Roman" w:hAnsi="Times New Roman" w:cs="Times New Roman"/>
          <w:sz w:val="24"/>
          <w:szCs w:val="24"/>
          <w:lang w:eastAsia="es-CO"/>
        </w:rPr>
        <w:t> Radicado 100014431 del 05/03/2019</w:t>
      </w:r>
    </w:p>
    <w:p w14:paraId="6FB0DDC0"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635"/>
        <w:gridCol w:w="222"/>
        <w:gridCol w:w="222"/>
        <w:gridCol w:w="6759"/>
      </w:tblGrid>
      <w:tr w:rsidR="000F0C6F" w:rsidRPr="000F0C6F" w14:paraId="7ECD72F0" w14:textId="77777777" w:rsidTr="000F0C6F">
        <w:tc>
          <w:tcPr>
            <w:tcW w:w="0" w:type="auto"/>
            <w:tcBorders>
              <w:top w:val="nil"/>
              <w:left w:val="nil"/>
              <w:bottom w:val="nil"/>
              <w:right w:val="nil"/>
            </w:tcBorders>
            <w:shd w:val="clear" w:color="auto" w:fill="auto"/>
            <w:tcMar>
              <w:top w:w="0" w:type="dxa"/>
              <w:left w:w="108" w:type="dxa"/>
              <w:bottom w:w="0" w:type="dxa"/>
              <w:right w:w="108" w:type="dxa"/>
            </w:tcMar>
            <w:hideMark/>
          </w:tcPr>
          <w:p w14:paraId="6F3813AC"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579050"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1B483D62"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6796CB"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Impuesto sobre la Renta y Complementarios</w:t>
            </w:r>
          </w:p>
          <w:p w14:paraId="4A10BA72"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Impuesto Sobre las Ventas - IVA</w:t>
            </w:r>
          </w:p>
        </w:tc>
      </w:tr>
      <w:tr w:rsidR="000F0C6F" w:rsidRPr="000F0C6F" w14:paraId="6B297F38" w14:textId="77777777" w:rsidTr="000F0C6F">
        <w:tc>
          <w:tcPr>
            <w:tcW w:w="0" w:type="auto"/>
            <w:tcBorders>
              <w:top w:val="nil"/>
              <w:left w:val="nil"/>
              <w:bottom w:val="nil"/>
              <w:right w:val="nil"/>
            </w:tcBorders>
            <w:shd w:val="clear" w:color="auto" w:fill="auto"/>
            <w:tcMar>
              <w:top w:w="0" w:type="dxa"/>
              <w:left w:w="108" w:type="dxa"/>
              <w:bottom w:w="0" w:type="dxa"/>
              <w:right w:w="108" w:type="dxa"/>
            </w:tcMar>
            <w:hideMark/>
          </w:tcPr>
          <w:p w14:paraId="2ABF64FD"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9204DF"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D19302"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01B62E"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Activos</w:t>
            </w:r>
          </w:p>
          <w:p w14:paraId="06B6BF55"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Determinación de Costos</w:t>
            </w:r>
          </w:p>
          <w:p w14:paraId="2BD6D155"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Servicios Excluidos</w:t>
            </w:r>
          </w:p>
        </w:tc>
      </w:tr>
      <w:tr w:rsidR="000F0C6F" w:rsidRPr="000F0C6F" w14:paraId="411DC1ED" w14:textId="77777777" w:rsidTr="000F0C6F">
        <w:tc>
          <w:tcPr>
            <w:tcW w:w="0" w:type="auto"/>
            <w:tcBorders>
              <w:top w:val="nil"/>
              <w:left w:val="nil"/>
              <w:bottom w:val="nil"/>
              <w:right w:val="nil"/>
            </w:tcBorders>
            <w:shd w:val="clear" w:color="auto" w:fill="auto"/>
            <w:tcMar>
              <w:top w:w="0" w:type="dxa"/>
              <w:left w:w="108" w:type="dxa"/>
              <w:bottom w:w="0" w:type="dxa"/>
              <w:right w:w="108" w:type="dxa"/>
            </w:tcMar>
            <w:hideMark/>
          </w:tcPr>
          <w:p w14:paraId="32028347"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72FF0E"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7AF81C5" w14:textId="77777777" w:rsidR="000F0C6F" w:rsidRPr="000F0C6F" w:rsidRDefault="000F0C6F" w:rsidP="000F0C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12398F"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Artículos </w:t>
            </w:r>
            <w:hyperlink r:id="rId4" w:tooltip="Estatuto Tributario CETA" w:history="1">
              <w:r w:rsidRPr="000F0C6F">
                <w:rPr>
                  <w:rFonts w:ascii="Times New Roman" w:eastAsia="Times New Roman" w:hAnsi="Times New Roman" w:cs="Times New Roman"/>
                  <w:sz w:val="24"/>
                  <w:szCs w:val="24"/>
                  <w:lang w:eastAsia="es-CO"/>
                </w:rPr>
                <w:t>24</w:t>
              </w:r>
            </w:hyperlink>
            <w:r w:rsidRPr="000F0C6F">
              <w:rPr>
                <w:rFonts w:ascii="Times New Roman" w:eastAsia="Times New Roman" w:hAnsi="Times New Roman" w:cs="Times New Roman"/>
                <w:sz w:val="24"/>
                <w:szCs w:val="24"/>
                <w:lang w:eastAsia="es-CO"/>
              </w:rPr>
              <w:t>, </w:t>
            </w:r>
            <w:hyperlink r:id="rId5" w:tooltip="Estatuto Tributario CETA" w:history="1">
              <w:r w:rsidRPr="000F0C6F">
                <w:rPr>
                  <w:rFonts w:ascii="Times New Roman" w:eastAsia="Times New Roman" w:hAnsi="Times New Roman" w:cs="Times New Roman"/>
                  <w:sz w:val="24"/>
                  <w:szCs w:val="24"/>
                  <w:lang w:eastAsia="es-CO"/>
                </w:rPr>
                <w:t>267</w:t>
              </w:r>
            </w:hyperlink>
            <w:r w:rsidRPr="000F0C6F">
              <w:rPr>
                <w:rFonts w:ascii="Times New Roman" w:eastAsia="Times New Roman" w:hAnsi="Times New Roman" w:cs="Times New Roman"/>
                <w:sz w:val="24"/>
                <w:szCs w:val="24"/>
                <w:lang w:eastAsia="es-CO"/>
              </w:rPr>
              <w:t>, </w:t>
            </w:r>
            <w:hyperlink r:id="rId6" w:tooltip="Estatuto Tributario CETA" w:history="1">
              <w:r w:rsidRPr="000F0C6F">
                <w:rPr>
                  <w:rFonts w:ascii="Times New Roman" w:eastAsia="Times New Roman" w:hAnsi="Times New Roman" w:cs="Times New Roman"/>
                  <w:sz w:val="24"/>
                  <w:szCs w:val="24"/>
                  <w:lang w:eastAsia="es-CO"/>
                </w:rPr>
                <w:t>299</w:t>
              </w:r>
            </w:hyperlink>
            <w:r w:rsidRPr="000F0C6F">
              <w:rPr>
                <w:rFonts w:ascii="Times New Roman" w:eastAsia="Times New Roman" w:hAnsi="Times New Roman" w:cs="Times New Roman"/>
                <w:sz w:val="24"/>
                <w:szCs w:val="24"/>
                <w:lang w:eastAsia="es-CO"/>
              </w:rPr>
              <w:t>, </w:t>
            </w:r>
            <w:hyperlink r:id="rId7" w:tooltip="Estatuto Tributario CETA" w:history="1">
              <w:r w:rsidRPr="000F0C6F">
                <w:rPr>
                  <w:rFonts w:ascii="Times New Roman" w:eastAsia="Times New Roman" w:hAnsi="Times New Roman" w:cs="Times New Roman"/>
                  <w:sz w:val="24"/>
                  <w:szCs w:val="24"/>
                  <w:lang w:eastAsia="es-CO"/>
                </w:rPr>
                <w:t>300</w:t>
              </w:r>
            </w:hyperlink>
            <w:r w:rsidRPr="000F0C6F">
              <w:rPr>
                <w:rFonts w:ascii="Times New Roman" w:eastAsia="Times New Roman" w:hAnsi="Times New Roman" w:cs="Times New Roman"/>
                <w:sz w:val="24"/>
                <w:szCs w:val="24"/>
                <w:lang w:eastAsia="es-CO"/>
              </w:rPr>
              <w:t>, </w:t>
            </w:r>
            <w:hyperlink r:id="rId8" w:tooltip="Estatuto Tributario CETA" w:history="1">
              <w:r w:rsidRPr="000F0C6F">
                <w:rPr>
                  <w:rFonts w:ascii="Times New Roman" w:eastAsia="Times New Roman" w:hAnsi="Times New Roman" w:cs="Times New Roman"/>
                  <w:sz w:val="24"/>
                  <w:szCs w:val="24"/>
                  <w:lang w:eastAsia="es-CO"/>
                </w:rPr>
                <w:t>420</w:t>
              </w:r>
            </w:hyperlink>
            <w:r w:rsidRPr="000F0C6F">
              <w:rPr>
                <w:rFonts w:ascii="Times New Roman" w:eastAsia="Times New Roman" w:hAnsi="Times New Roman" w:cs="Times New Roman"/>
                <w:sz w:val="24"/>
                <w:szCs w:val="24"/>
                <w:lang w:eastAsia="es-CO"/>
              </w:rPr>
              <w:t>, </w:t>
            </w:r>
            <w:hyperlink r:id="rId9" w:tooltip="Estatuto Tributario CETA" w:history="1">
              <w:r w:rsidRPr="000F0C6F">
                <w:rPr>
                  <w:rFonts w:ascii="Times New Roman" w:eastAsia="Times New Roman" w:hAnsi="Times New Roman" w:cs="Times New Roman"/>
                  <w:sz w:val="24"/>
                  <w:szCs w:val="24"/>
                  <w:lang w:eastAsia="es-CO"/>
                </w:rPr>
                <w:t>437</w:t>
              </w:r>
            </w:hyperlink>
            <w:r w:rsidRPr="000F0C6F">
              <w:rPr>
                <w:rFonts w:ascii="Times New Roman" w:eastAsia="Times New Roman" w:hAnsi="Times New Roman" w:cs="Times New Roman"/>
                <w:sz w:val="24"/>
                <w:szCs w:val="24"/>
                <w:lang w:eastAsia="es-CO"/>
              </w:rPr>
              <w:t>, </w:t>
            </w:r>
            <w:hyperlink r:id="rId10" w:tooltip="Estatuto Tributario CETA" w:history="1">
              <w:r w:rsidRPr="000F0C6F">
                <w:rPr>
                  <w:rFonts w:ascii="Times New Roman" w:eastAsia="Times New Roman" w:hAnsi="Times New Roman" w:cs="Times New Roman"/>
                  <w:sz w:val="24"/>
                  <w:szCs w:val="24"/>
                  <w:lang w:eastAsia="es-CO"/>
                </w:rPr>
                <w:t>437-2</w:t>
              </w:r>
            </w:hyperlink>
            <w:r w:rsidRPr="000F0C6F">
              <w:rPr>
                <w:rFonts w:ascii="Times New Roman" w:eastAsia="Times New Roman" w:hAnsi="Times New Roman" w:cs="Times New Roman"/>
                <w:sz w:val="24"/>
                <w:szCs w:val="24"/>
                <w:lang w:eastAsia="es-CO"/>
              </w:rPr>
              <w:t> y </w:t>
            </w:r>
            <w:hyperlink r:id="rId11" w:tooltip="Estatuto Tributario CETA" w:history="1">
              <w:r w:rsidRPr="000F0C6F">
                <w:rPr>
                  <w:rFonts w:ascii="Times New Roman" w:eastAsia="Times New Roman" w:hAnsi="Times New Roman" w:cs="Times New Roman"/>
                  <w:sz w:val="24"/>
                  <w:szCs w:val="24"/>
                  <w:lang w:eastAsia="es-CO"/>
                </w:rPr>
                <w:t>476</w:t>
              </w:r>
            </w:hyperlink>
            <w:r w:rsidRPr="000F0C6F">
              <w:rPr>
                <w:rFonts w:ascii="Times New Roman" w:eastAsia="Times New Roman" w:hAnsi="Times New Roman" w:cs="Times New Roman"/>
                <w:sz w:val="24"/>
                <w:szCs w:val="24"/>
                <w:lang w:eastAsia="es-CO"/>
              </w:rPr>
              <w:t> del Estatuto Tributario.</w:t>
            </w:r>
          </w:p>
          <w:p w14:paraId="5D36F85E"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Ley 1943 de 2018.</w:t>
            </w:r>
          </w:p>
          <w:p w14:paraId="20E30AB0"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Oficio No. 020733 del 8 de agosto de 2018 y Concepto 082625 de 2013 de la Dirección de Impuestos y Aduanas Nacionales – DIAN.</w:t>
            </w:r>
          </w:p>
        </w:tc>
      </w:tr>
    </w:tbl>
    <w:p w14:paraId="2DA57F95"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411C52D7"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6A2E888"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Cordial saludo, Señor García:</w:t>
      </w:r>
    </w:p>
    <w:p w14:paraId="62BF8EDB"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9D865A9" w14:textId="77777777" w:rsidR="000F0C6F" w:rsidRPr="000F0C6F" w:rsidRDefault="000F0C6F" w:rsidP="000F0C6F">
      <w:pPr>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2DC0F922"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F22670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45D7D4BB"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408EB92"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En atención a la consulta, en la que solicita:</w:t>
      </w:r>
    </w:p>
    <w:p w14:paraId="6541E72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C4D95F7"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1. ¿Sobre la pregunta 1 del Oficio No. 020733 del 8 de agosto de 2018, según el literal b) del </w:t>
      </w:r>
      <w:hyperlink r:id="rId12" w:tooltip="Estatuto Tributario CETA" w:history="1">
        <w:r w:rsidRPr="000F0C6F">
          <w:rPr>
            <w:rFonts w:ascii="Times New Roman" w:eastAsia="Times New Roman" w:hAnsi="Times New Roman" w:cs="Times New Roman"/>
            <w:i/>
            <w:iCs/>
            <w:sz w:val="24"/>
            <w:szCs w:val="24"/>
            <w:lang w:eastAsia="es-CO"/>
          </w:rPr>
          <w:t>artículo 420</w:t>
        </w:r>
      </w:hyperlink>
      <w:r w:rsidRPr="000F0C6F">
        <w:rPr>
          <w:rFonts w:ascii="Times New Roman" w:eastAsia="Times New Roman" w:hAnsi="Times New Roman" w:cs="Times New Roman"/>
          <w:i/>
          <w:iCs/>
          <w:sz w:val="24"/>
          <w:szCs w:val="24"/>
          <w:u w:val="single"/>
          <w:lang w:eastAsia="es-CO"/>
        </w:rPr>
        <w:t> del Estatuto Tributario, “La venta o cesiones de derechos sobre activos intangibles, únicamente asociados con la propiedad industrial están gravados en el IVA”</w:t>
      </w:r>
    </w:p>
    <w:p w14:paraId="377EF38E"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C526BB9"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 xml:space="preserve">Es claro que todos los </w:t>
      </w:r>
      <w:r w:rsidRPr="004F66E9">
        <w:rPr>
          <w:rFonts w:ascii="Times New Roman" w:eastAsia="Times New Roman" w:hAnsi="Times New Roman" w:cs="Times New Roman"/>
          <w:b/>
          <w:bCs/>
          <w:i/>
          <w:iCs/>
          <w:sz w:val="24"/>
          <w:szCs w:val="24"/>
          <w:u w:val="single"/>
          <w:lang w:eastAsia="es-CO"/>
        </w:rPr>
        <w:t>criptoactivos que se poseen no se tienen la propiedad industria, salvo que se haya creado y se posea la tit</w:t>
      </w:r>
      <w:r w:rsidRPr="000F0C6F">
        <w:rPr>
          <w:rFonts w:ascii="Times New Roman" w:eastAsia="Times New Roman" w:hAnsi="Times New Roman" w:cs="Times New Roman"/>
          <w:i/>
          <w:iCs/>
          <w:sz w:val="24"/>
          <w:szCs w:val="24"/>
          <w:u w:val="single"/>
          <w:lang w:eastAsia="es-CO"/>
        </w:rPr>
        <w:t>ularidad de goce y usufructo del intangible.</w:t>
      </w:r>
    </w:p>
    <w:p w14:paraId="20FB699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80E36A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Cuando, se afirma que “cada contribuyente deberá revisar cuando enajene este tipo de activos si se enmarcan dentro de alguno de los hechos generadores del impuesto a las ventas, en caso contrario, no está sujeto a dicho impuesto” …</w:t>
      </w:r>
    </w:p>
    <w:p w14:paraId="045336A8"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lastRenderedPageBreak/>
        <w:t> </w:t>
      </w:r>
    </w:p>
    <w:p w14:paraId="07646EE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 Se refiere al criterio de poseer o no la propiedad industrial del criptoactivos como activo intangible?</w:t>
      </w:r>
    </w:p>
    <w:p w14:paraId="33002DC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8E9D1B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Mediante el artículo 173 de la Ley 1819 de 2016 el cual modifico el </w:t>
      </w:r>
      <w:hyperlink r:id="rId13" w:tooltip="Estatuto Tributario CETA" w:history="1">
        <w:r w:rsidRPr="000F0C6F">
          <w:rPr>
            <w:rFonts w:ascii="Times New Roman" w:eastAsia="Times New Roman" w:hAnsi="Times New Roman" w:cs="Times New Roman"/>
            <w:sz w:val="24"/>
            <w:szCs w:val="24"/>
            <w:lang w:eastAsia="es-CO"/>
          </w:rPr>
          <w:t>artículo 420</w:t>
        </w:r>
      </w:hyperlink>
      <w:r w:rsidRPr="000F0C6F">
        <w:rPr>
          <w:rFonts w:ascii="Times New Roman" w:eastAsia="Times New Roman" w:hAnsi="Times New Roman" w:cs="Times New Roman"/>
          <w:sz w:val="24"/>
          <w:szCs w:val="24"/>
          <w:lang w:eastAsia="es-CO"/>
        </w:rPr>
        <w:t> del Estatuto Tributario se introdujo como hecho generador la venta o cesión de derechos sobre activos intangibles asociados con la propiedad industrial. La propiedad industrial es:</w:t>
      </w:r>
    </w:p>
    <w:p w14:paraId="2D1E19F7"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6D6E814"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 el conjunto de derechos exclusivos y temporales que el Estado concede para usar y explotar económicamente aquellas invenciones o innovaciones aplicables a la industria y el comercio que sean producto del ingenio y la capacidad intelectual del hombre. Recae sobre las cosas imperceptibles e inmateriales, como las creaciones que proceden del ingenio humano susceptibles de beneficio comercial o de utilización industrial (Canaval, 2008, pág. 78).”</w:t>
      </w:r>
    </w:p>
    <w:p w14:paraId="2D922ED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C1AE2F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Al respecto este despacho se manifiesto (sic) al respecto indicando lo siguiente:</w:t>
      </w:r>
    </w:p>
    <w:p w14:paraId="0E81EBC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9402204"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 observa esta Subdirección que en el literal b) del artículo 173 de la Ley 1819 de 2016 no se hace precisión alguna sobre cuáles activos intangibles están o no gravados al impuesto sobre las ventas, sino que se habla genéricamente de “activos intangibles”. En consecuencia, en aplicación al principio general de interpretación conforme al cual “donde el legislador no distingue, no le es dado al interprete distinguir”, el cual tiene aplicación en el derecho colombiano como lo ha aceptado la Corte Constitucional Cfr. Corte Constitucional, Sentencia C-317 de 2012, es dable concluir que si bien es cierto que en la Decisión 486 de 2000 de la Comunidad Andina de Naciones- Régimen de Propiedad Industrial, identifica activos intangibles relacionados con la propiedad industrial, el literal b) del artículo 173 de la Ley 1819 de 2016 no hace referencia alguna única y exclusivamente a estos, sino que grava con el impuesto de manera general a todos los activos intangibles, aunque únicamente asociados con la propiedad industrial.”</w:t>
      </w:r>
    </w:p>
    <w:p w14:paraId="1C65C7AD"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7A9F19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Ahora bien, con respecto a la consulta en concreto y teniendo en cuenta lo anterior, cuando el oficio afirmó que “cada contribuyente deberá revisar cuando enajene este tipo de activos si se enmarca dentro de alguno de los hechos generadores del impuesto a las ventas, en caso contrario no estaría sujeto a dicho impuesto” Se refería a si dicho activo podría ser catalogado como; i) un activo fijo y ii) si se posee los derechos de propiedad industrial sobre el activo intangible.</w:t>
      </w:r>
    </w:p>
    <w:p w14:paraId="1DA715F7"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E0256D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 xml:space="preserve">2. Sobre la pregunta 2 del Oficio 020733 del ocho de agosto de 2018, se enfocó la respuesta para los que llevan contabilidad, pero hay inversionistas que no están obligados a llevar contabilidad. Cuando se dice “ se tiene entonces que para efectos de determinar cómo se declararía </w:t>
      </w:r>
      <w:r w:rsidRPr="004F66E9">
        <w:rPr>
          <w:rFonts w:ascii="Times New Roman" w:eastAsia="Times New Roman" w:hAnsi="Times New Roman" w:cs="Times New Roman"/>
          <w:b/>
          <w:bCs/>
          <w:i/>
          <w:iCs/>
          <w:sz w:val="24"/>
          <w:szCs w:val="24"/>
          <w:u w:val="single"/>
          <w:lang w:eastAsia="es-CO"/>
        </w:rPr>
        <w:t>el criptoactivo</w:t>
      </w:r>
      <w:r w:rsidRPr="000F0C6F">
        <w:rPr>
          <w:rFonts w:ascii="Times New Roman" w:eastAsia="Times New Roman" w:hAnsi="Times New Roman" w:cs="Times New Roman"/>
          <w:i/>
          <w:iCs/>
          <w:sz w:val="24"/>
          <w:szCs w:val="24"/>
          <w:u w:val="single"/>
          <w:lang w:eastAsia="es-CO"/>
        </w:rPr>
        <w:t xml:space="preserve">, dependerá de cómo lo reconozca contablemente, es decir un inventario o un activo intangible”: ¿Para los que no llevan contabilidad, (considero que aún para los que lleven contabilidad) para efectos de determinar cómo se declararía el </w:t>
      </w:r>
      <w:r w:rsidRPr="004F66E9">
        <w:rPr>
          <w:rFonts w:ascii="Times New Roman" w:eastAsia="Times New Roman" w:hAnsi="Times New Roman" w:cs="Times New Roman"/>
          <w:b/>
          <w:bCs/>
          <w:i/>
          <w:iCs/>
          <w:sz w:val="24"/>
          <w:szCs w:val="24"/>
          <w:u w:val="single"/>
          <w:lang w:eastAsia="es-CO"/>
        </w:rPr>
        <w:t>cripoactivo</w:t>
      </w:r>
      <w:r w:rsidRPr="000F0C6F">
        <w:rPr>
          <w:rFonts w:ascii="Times New Roman" w:eastAsia="Times New Roman" w:hAnsi="Times New Roman" w:cs="Times New Roman"/>
          <w:i/>
          <w:iCs/>
          <w:sz w:val="24"/>
          <w:szCs w:val="24"/>
          <w:u w:val="single"/>
          <w:lang w:eastAsia="es-CO"/>
        </w:rPr>
        <w:t xml:space="preserve"> como activo intangible o bien inmaterial, depende si se tiene disponible para la venta (inventarios-activos movibles) o no se tiene para la venta (activos fijos)?</w:t>
      </w:r>
    </w:p>
    <w:p w14:paraId="2ACAFD4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48627D74"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lastRenderedPageBreak/>
        <w:t>En el mismo sentido, con respecto a la respuesta de la pregunta 3 del mismo Oficio 020733 del 89 de agosto de 2018, cuando dice “Con respecto a cómo se deben reconocer en la declaración de renta, esto dependerá de cómo se reconoció el activo el que lo enajena…”</w:t>
      </w:r>
    </w:p>
    <w:p w14:paraId="0573B8F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438C8053" w14:textId="77777777" w:rsidR="000F0C6F" w:rsidRPr="009F46C2" w:rsidRDefault="000F0C6F" w:rsidP="000F0C6F">
      <w:pPr>
        <w:shd w:val="clear" w:color="auto" w:fill="FFFFFF"/>
        <w:spacing w:after="0" w:line="240" w:lineRule="auto"/>
        <w:jc w:val="both"/>
        <w:rPr>
          <w:rFonts w:ascii="Times New Roman" w:eastAsia="Times New Roman" w:hAnsi="Times New Roman" w:cs="Times New Roman"/>
          <w:sz w:val="32"/>
          <w:szCs w:val="32"/>
          <w:lang w:eastAsia="es-CO"/>
        </w:rPr>
      </w:pPr>
      <w:r w:rsidRPr="009F46C2">
        <w:rPr>
          <w:rFonts w:ascii="Times New Roman" w:eastAsia="Times New Roman" w:hAnsi="Times New Roman" w:cs="Times New Roman"/>
          <w:b/>
          <w:bCs/>
          <w:i/>
          <w:iCs/>
          <w:sz w:val="32"/>
          <w:szCs w:val="32"/>
          <w:u w:val="single"/>
          <w:lang w:eastAsia="es-CO"/>
        </w:rPr>
        <w:t>¿La ganancia es ordinaria u ocasional, es con respecto a la enajenación de criptoactivos disponibles para la venta (inventario-activos movibles) o enajenación de criptoactivos que no se tienen para la venta (activos fijos) poseídos por menos o más de dos años?</w:t>
      </w:r>
    </w:p>
    <w:p w14:paraId="0023D5C2"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9CC32A3" w14:textId="402FEBE7" w:rsidR="000F0C6F" w:rsidRPr="009F46C2" w:rsidRDefault="000F0C6F" w:rsidP="000F0C6F">
      <w:pPr>
        <w:shd w:val="clear" w:color="auto" w:fill="FFFFFF"/>
        <w:spacing w:after="0" w:line="240" w:lineRule="auto"/>
        <w:jc w:val="both"/>
        <w:rPr>
          <w:rFonts w:ascii="Times New Roman" w:eastAsia="Times New Roman" w:hAnsi="Times New Roman" w:cs="Times New Roman"/>
          <w:b/>
          <w:bCs/>
          <w:sz w:val="24"/>
          <w:szCs w:val="24"/>
          <w:lang w:eastAsia="es-CO"/>
        </w:rPr>
      </w:pPr>
      <w:r w:rsidRPr="009F46C2">
        <w:rPr>
          <w:rFonts w:ascii="Times New Roman" w:eastAsia="Times New Roman" w:hAnsi="Times New Roman" w:cs="Times New Roman"/>
          <w:b/>
          <w:bCs/>
          <w:sz w:val="24"/>
          <w:szCs w:val="24"/>
          <w:lang w:eastAsia="es-CO"/>
        </w:rPr>
        <w:t xml:space="preserve">Como se manifestó anteriormente los criptoactivos son considerados como un activo. </w:t>
      </w:r>
      <w:bookmarkStart w:id="0" w:name="_GoBack"/>
      <w:bookmarkEnd w:id="0"/>
      <w:r w:rsidRPr="009F46C2">
        <w:rPr>
          <w:rFonts w:ascii="Times New Roman" w:eastAsia="Times New Roman" w:hAnsi="Times New Roman" w:cs="Times New Roman"/>
          <w:b/>
          <w:bCs/>
          <w:sz w:val="24"/>
          <w:szCs w:val="24"/>
          <w:lang w:eastAsia="es-CO"/>
        </w:rPr>
        <w:t>Por lo tanto, deberán declararse por su valor patrimonial de conformidad con el </w:t>
      </w:r>
      <w:hyperlink r:id="rId14" w:tooltip="Estatuto Tributario CETA" w:history="1">
        <w:r w:rsidRPr="009F46C2">
          <w:rPr>
            <w:rFonts w:ascii="Times New Roman" w:eastAsia="Times New Roman" w:hAnsi="Times New Roman" w:cs="Times New Roman"/>
            <w:b/>
            <w:bCs/>
            <w:sz w:val="24"/>
            <w:szCs w:val="24"/>
            <w:lang w:eastAsia="es-CO"/>
          </w:rPr>
          <w:t>artículo 267</w:t>
        </w:r>
      </w:hyperlink>
      <w:r w:rsidRPr="009F46C2">
        <w:rPr>
          <w:rFonts w:ascii="Times New Roman" w:eastAsia="Times New Roman" w:hAnsi="Times New Roman" w:cs="Times New Roman"/>
          <w:b/>
          <w:bCs/>
          <w:sz w:val="24"/>
          <w:szCs w:val="24"/>
          <w:lang w:eastAsia="es-CO"/>
        </w:rPr>
        <w:t> y siguientes.</w:t>
      </w:r>
    </w:p>
    <w:p w14:paraId="29BF9C24" w14:textId="77777777" w:rsidR="000F0C6F" w:rsidRPr="009F46C2" w:rsidRDefault="000F0C6F" w:rsidP="000F0C6F">
      <w:pPr>
        <w:shd w:val="clear" w:color="auto" w:fill="FFFFFF"/>
        <w:spacing w:after="0" w:line="240" w:lineRule="auto"/>
        <w:jc w:val="both"/>
        <w:rPr>
          <w:rFonts w:ascii="Times New Roman" w:eastAsia="Times New Roman" w:hAnsi="Times New Roman" w:cs="Times New Roman"/>
          <w:b/>
          <w:bCs/>
          <w:sz w:val="24"/>
          <w:szCs w:val="24"/>
          <w:lang w:eastAsia="es-CO"/>
        </w:rPr>
      </w:pPr>
      <w:r w:rsidRPr="009F46C2">
        <w:rPr>
          <w:rFonts w:ascii="Times New Roman" w:eastAsia="Times New Roman" w:hAnsi="Times New Roman" w:cs="Times New Roman"/>
          <w:b/>
          <w:bCs/>
          <w:sz w:val="24"/>
          <w:szCs w:val="24"/>
          <w:lang w:eastAsia="es-CO"/>
        </w:rPr>
        <w:t> </w:t>
      </w:r>
    </w:p>
    <w:p w14:paraId="36D5DBC8"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El </w:t>
      </w:r>
      <w:hyperlink r:id="rId15" w:tooltip="Estatuto Tributario CETA" w:history="1">
        <w:r w:rsidRPr="000F0C6F">
          <w:rPr>
            <w:rFonts w:ascii="Times New Roman" w:eastAsia="Times New Roman" w:hAnsi="Times New Roman" w:cs="Times New Roman"/>
            <w:sz w:val="24"/>
            <w:szCs w:val="24"/>
            <w:lang w:eastAsia="es-CO"/>
          </w:rPr>
          <w:t>artículo 267</w:t>
        </w:r>
      </w:hyperlink>
      <w:r w:rsidRPr="000F0C6F">
        <w:rPr>
          <w:rFonts w:ascii="Times New Roman" w:eastAsia="Times New Roman" w:hAnsi="Times New Roman" w:cs="Times New Roman"/>
          <w:sz w:val="24"/>
          <w:szCs w:val="24"/>
          <w:lang w:eastAsia="es-CO"/>
        </w:rPr>
        <w:t> del Estatuto Tributario indica lo siguiente:</w:t>
      </w:r>
    </w:p>
    <w:p w14:paraId="455D652B"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AFEF079"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w:t>
      </w:r>
      <w:hyperlink r:id="rId16" w:tooltip="Estatuto Tributario CETA" w:history="1">
        <w:r w:rsidRPr="000F0C6F">
          <w:rPr>
            <w:rFonts w:ascii="Times New Roman" w:eastAsia="Times New Roman" w:hAnsi="Times New Roman" w:cs="Times New Roman"/>
            <w:b/>
            <w:bCs/>
            <w:i/>
            <w:iCs/>
            <w:sz w:val="24"/>
            <w:szCs w:val="24"/>
            <w:lang w:eastAsia="es-CO"/>
          </w:rPr>
          <w:t>Art. 267</w:t>
        </w:r>
      </w:hyperlink>
      <w:r w:rsidRPr="000F0C6F">
        <w:rPr>
          <w:rFonts w:ascii="Times New Roman" w:eastAsia="Times New Roman" w:hAnsi="Times New Roman" w:cs="Times New Roman"/>
          <w:b/>
          <w:bCs/>
          <w:i/>
          <w:iCs/>
          <w:sz w:val="24"/>
          <w:szCs w:val="24"/>
          <w:lang w:eastAsia="es-CO"/>
        </w:rPr>
        <w:t>. Regla general para la valoración patrimonial de los activos.</w:t>
      </w:r>
      <w:r w:rsidRPr="000F0C6F">
        <w:rPr>
          <w:rFonts w:ascii="Times New Roman" w:eastAsia="Times New Roman" w:hAnsi="Times New Roman" w:cs="Times New Roman"/>
          <w:i/>
          <w:iCs/>
          <w:sz w:val="24"/>
          <w:szCs w:val="24"/>
          <w:lang w:eastAsia="es-CO"/>
        </w:rPr>
        <w:t> El valor de los bienes o derechos apreciables en dinero poseídos en el último día del año o perÍodo gravable, estará constituido por su costo fiscal, de conformidad con lo dispuesto en las normas del Título I de este Libro, salvo las normas especiales consagradas en los artículos siguientes.</w:t>
      </w:r>
    </w:p>
    <w:p w14:paraId="115C213C"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673B505"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14:paraId="6FF4397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74D4A0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Por otro lado, el </w:t>
      </w:r>
      <w:hyperlink r:id="rId17" w:tooltip="Estatuto Tributario CETA" w:history="1">
        <w:r w:rsidRPr="000F0C6F">
          <w:rPr>
            <w:rFonts w:ascii="Times New Roman" w:eastAsia="Times New Roman" w:hAnsi="Times New Roman" w:cs="Times New Roman"/>
            <w:sz w:val="24"/>
            <w:szCs w:val="24"/>
            <w:lang w:eastAsia="es-CO"/>
          </w:rPr>
          <w:t>artículo 60</w:t>
        </w:r>
      </w:hyperlink>
      <w:r w:rsidRPr="000F0C6F">
        <w:rPr>
          <w:rFonts w:ascii="Times New Roman" w:eastAsia="Times New Roman" w:hAnsi="Times New Roman" w:cs="Times New Roman"/>
          <w:sz w:val="24"/>
          <w:szCs w:val="24"/>
          <w:lang w:eastAsia="es-CO"/>
        </w:rPr>
        <w:t> define que es un activo fijo de la siguiente manera:</w:t>
      </w:r>
    </w:p>
    <w:p w14:paraId="3B1C854B"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03256ED"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“Los activos enajenados se dividen en movibles y en fijos o inmovilizados. Son activos movibles los bienes corporales muebles o inmuebles y los incorporales que se enajenan dentro del giro ordinario de los negocios del contribuyente e implican ordinariamente existencias al principio y al fin de cada año o período gravable. Son activos fijos o inmovilizados los bienes corporales muebles o inmuebles y los incorporales que no se enajenan dentro del giro ordinario de los negocios del contribuyente.</w:t>
      </w:r>
    </w:p>
    <w:p w14:paraId="363DA348"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5ADCB2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Parágrafo.</w:t>
      </w:r>
      <w:r w:rsidRPr="000F0C6F">
        <w:rPr>
          <w:rFonts w:ascii="Times New Roman" w:eastAsia="Times New Roman" w:hAnsi="Times New Roman" w:cs="Times New Roman"/>
          <w:i/>
          <w:iCs/>
          <w:sz w:val="24"/>
          <w:szCs w:val="24"/>
          <w:lang w:eastAsia="es-CO"/>
        </w:rPr>
        <w:t> 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14:paraId="2758B599"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13B7B3D" w14:textId="77777777" w:rsidR="000F0C6F" w:rsidRPr="009F46C2" w:rsidRDefault="000F0C6F" w:rsidP="000F0C6F">
      <w:pPr>
        <w:shd w:val="clear" w:color="auto" w:fill="FFFFFF"/>
        <w:spacing w:after="0" w:line="240" w:lineRule="auto"/>
        <w:jc w:val="both"/>
        <w:rPr>
          <w:rFonts w:ascii="Times New Roman" w:eastAsia="Times New Roman" w:hAnsi="Times New Roman" w:cs="Times New Roman"/>
          <w:b/>
          <w:bCs/>
          <w:sz w:val="28"/>
          <w:szCs w:val="28"/>
          <w:lang w:eastAsia="es-CO"/>
        </w:rPr>
      </w:pPr>
      <w:r w:rsidRPr="009F46C2">
        <w:rPr>
          <w:rFonts w:ascii="Times New Roman" w:eastAsia="Times New Roman" w:hAnsi="Times New Roman" w:cs="Times New Roman"/>
          <w:b/>
          <w:bCs/>
          <w:sz w:val="28"/>
          <w:szCs w:val="28"/>
          <w:lang w:eastAsia="es-CO"/>
        </w:rPr>
        <w:t xml:space="preserve">En este sentido, para la determinación de si los criptoactivos son un activo intangible, para los no obligados a llevar contabilidad, no depende de si estos fueron enajenados dentro del giro ordinario de los negocios del </w:t>
      </w:r>
      <w:r w:rsidRPr="009F46C2">
        <w:rPr>
          <w:rFonts w:ascii="Times New Roman" w:eastAsia="Times New Roman" w:hAnsi="Times New Roman" w:cs="Times New Roman"/>
          <w:b/>
          <w:bCs/>
          <w:sz w:val="28"/>
          <w:szCs w:val="28"/>
          <w:lang w:eastAsia="es-CO"/>
        </w:rPr>
        <w:lastRenderedPageBreak/>
        <w:t>contribuyente. Dichos activos deberán declararse por su valor patrimonial de conformidad con el </w:t>
      </w:r>
      <w:hyperlink r:id="rId18" w:tooltip="Estatuto Tributario CETA" w:history="1">
        <w:r w:rsidRPr="009F46C2">
          <w:rPr>
            <w:rFonts w:ascii="Times New Roman" w:eastAsia="Times New Roman" w:hAnsi="Times New Roman" w:cs="Times New Roman"/>
            <w:b/>
            <w:bCs/>
            <w:sz w:val="28"/>
            <w:szCs w:val="28"/>
            <w:lang w:eastAsia="es-CO"/>
          </w:rPr>
          <w:t>artículo 267</w:t>
        </w:r>
      </w:hyperlink>
      <w:r w:rsidRPr="009F46C2">
        <w:rPr>
          <w:rFonts w:ascii="Times New Roman" w:eastAsia="Times New Roman" w:hAnsi="Times New Roman" w:cs="Times New Roman"/>
          <w:b/>
          <w:bCs/>
          <w:sz w:val="28"/>
          <w:szCs w:val="28"/>
          <w:lang w:eastAsia="es-CO"/>
        </w:rPr>
        <w:t> y siguientes del Estatuto Tributario.</w:t>
      </w:r>
    </w:p>
    <w:p w14:paraId="31F37FAB"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57598E9" w14:textId="77777777" w:rsidR="000F0C6F" w:rsidRPr="009F46C2" w:rsidRDefault="000F0C6F" w:rsidP="000F0C6F">
      <w:pPr>
        <w:shd w:val="clear" w:color="auto" w:fill="FFFFFF"/>
        <w:spacing w:after="0" w:line="240" w:lineRule="auto"/>
        <w:jc w:val="both"/>
        <w:rPr>
          <w:rFonts w:ascii="Times New Roman" w:eastAsia="Times New Roman" w:hAnsi="Times New Roman" w:cs="Times New Roman"/>
          <w:b/>
          <w:bCs/>
          <w:sz w:val="32"/>
          <w:szCs w:val="32"/>
          <w:u w:val="single"/>
          <w:lang w:eastAsia="es-CO"/>
        </w:rPr>
      </w:pPr>
      <w:r w:rsidRPr="009F46C2">
        <w:rPr>
          <w:rFonts w:ascii="Times New Roman" w:eastAsia="Times New Roman" w:hAnsi="Times New Roman" w:cs="Times New Roman"/>
          <w:b/>
          <w:bCs/>
          <w:sz w:val="32"/>
          <w:szCs w:val="32"/>
          <w:u w:val="single"/>
          <w:lang w:eastAsia="es-CO"/>
        </w:rPr>
        <w:t>Para efectos de determinar si los ingresos provenientes de la enajenación de criptoactivos es ingreso ordinario o ingreso constitutivo de ganancia ocasional se deberá observar los artículos </w:t>
      </w:r>
      <w:hyperlink r:id="rId19" w:tooltip="Estatuto Tributario CETA" w:history="1">
        <w:r w:rsidRPr="009F46C2">
          <w:rPr>
            <w:rFonts w:ascii="Times New Roman" w:eastAsia="Times New Roman" w:hAnsi="Times New Roman" w:cs="Times New Roman"/>
            <w:b/>
            <w:bCs/>
            <w:sz w:val="32"/>
            <w:szCs w:val="32"/>
            <w:u w:val="single"/>
            <w:lang w:eastAsia="es-CO"/>
          </w:rPr>
          <w:t>299</w:t>
        </w:r>
      </w:hyperlink>
      <w:r w:rsidRPr="009F46C2">
        <w:rPr>
          <w:rFonts w:ascii="Times New Roman" w:eastAsia="Times New Roman" w:hAnsi="Times New Roman" w:cs="Times New Roman"/>
          <w:b/>
          <w:bCs/>
          <w:sz w:val="32"/>
          <w:szCs w:val="32"/>
          <w:u w:val="single"/>
          <w:lang w:eastAsia="es-CO"/>
        </w:rPr>
        <w:t> y </w:t>
      </w:r>
      <w:hyperlink r:id="rId20" w:tooltip="Estatuto Tributario CETA" w:history="1">
        <w:r w:rsidRPr="009F46C2">
          <w:rPr>
            <w:rFonts w:ascii="Times New Roman" w:eastAsia="Times New Roman" w:hAnsi="Times New Roman" w:cs="Times New Roman"/>
            <w:b/>
            <w:bCs/>
            <w:sz w:val="32"/>
            <w:szCs w:val="32"/>
            <w:u w:val="single"/>
            <w:lang w:eastAsia="es-CO"/>
          </w:rPr>
          <w:t>300</w:t>
        </w:r>
      </w:hyperlink>
      <w:r w:rsidRPr="009F46C2">
        <w:rPr>
          <w:rFonts w:ascii="Times New Roman" w:eastAsia="Times New Roman" w:hAnsi="Times New Roman" w:cs="Times New Roman"/>
          <w:b/>
          <w:bCs/>
          <w:sz w:val="32"/>
          <w:szCs w:val="32"/>
          <w:u w:val="single"/>
          <w:lang w:eastAsia="es-CO"/>
        </w:rPr>
        <w:t> del Estatuto Tributario.</w:t>
      </w:r>
    </w:p>
    <w:p w14:paraId="6B782205" w14:textId="77777777" w:rsidR="000F0C6F" w:rsidRPr="009F46C2" w:rsidRDefault="000F0C6F" w:rsidP="000F0C6F">
      <w:pPr>
        <w:shd w:val="clear" w:color="auto" w:fill="FFFFFF"/>
        <w:spacing w:after="0" w:line="240" w:lineRule="auto"/>
        <w:jc w:val="both"/>
        <w:rPr>
          <w:rFonts w:ascii="Times New Roman" w:eastAsia="Times New Roman" w:hAnsi="Times New Roman" w:cs="Times New Roman"/>
          <w:b/>
          <w:bCs/>
          <w:sz w:val="32"/>
          <w:szCs w:val="32"/>
          <w:lang w:eastAsia="es-CO"/>
        </w:rPr>
      </w:pPr>
      <w:r w:rsidRPr="009F46C2">
        <w:rPr>
          <w:rFonts w:ascii="Times New Roman" w:eastAsia="Times New Roman" w:hAnsi="Times New Roman" w:cs="Times New Roman"/>
          <w:b/>
          <w:bCs/>
          <w:sz w:val="32"/>
          <w:szCs w:val="32"/>
          <w:lang w:eastAsia="es-CO"/>
        </w:rPr>
        <w:t> </w:t>
      </w:r>
    </w:p>
    <w:p w14:paraId="7ABE11E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3. Con respecto a la afirmación en la respuesta de la pregunta 2 del Oficio No. 020733 del 8 de agosto de 2018, que “De modo que quien tenga en su monedero virtual criptoactivos y, adicionalmente, pueda disfrutar de sus beneficios económicos, como la obtención de utilidades por la enajenación de dicho activo, deberá declararles en su de declaración de renta anual”. Me permito hacer las siguientes aclaraciones. En algunas plataformas virtuales es posible que un paquete de una cantidad determinada de critptoactivos, sean varios los dueños. Pero, el paquete de monedas o monedero virtual está a nombre o tiene la titularidad una sola persona quien actúa en calidad de administrador o mandatario quien firma un documento autenticado por notaría con los dueños para plasmar obligaciones, responsabilidades y derechos de cada uno de los actores mencionados incluyendo la repartición y las ganancias obtenidas.</w:t>
      </w:r>
    </w:p>
    <w:p w14:paraId="68C29187"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B55DF8F"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En este caso:</w:t>
      </w:r>
    </w:p>
    <w:p w14:paraId="786E198F"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2D76E0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¿El administrador solo debe declarar las monedas y sus ganancias que le corresponde, así como cada uno de los dueños, debido a que cada uno va disfrutar de los beneficios económicos, como la obtención de utilidades por la enajenación de los activos que le corresponde? o ¿El administrador debe declarar la totalidad de los criptoactivos y la totalidad de las ganancias, sabiendo de antemano que no es el que va disfrutar de los beneficios económicos por la enajenación que no le corresponde?</w:t>
      </w:r>
    </w:p>
    <w:p w14:paraId="0DA4A563"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0698C34"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En primer lugar, se debe tener en cuenta para el caso en particular que el administrador o mandatario es un simple intermediador, el cual no tiene el aprovechamiento económico potencial o real sobre el bien. Por lo tanto, el administrador o mandatario, solo deberá tributar sobre los ingresos que recibirá para sí, en virtud del contrato de administración o mandato, considerando que aquellos ingresos recibidos por terceros no son susceptibles de incrementar el patrimonio neto, dado que son percibidos por cuenta de los mandantes.</w:t>
      </w:r>
    </w:p>
    <w:p w14:paraId="6C345412"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E8A24B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Teniendo en cuenta lo anterior son los mandantes quienes tienen la posesión real de los bienes, por lo tanto, son estos quienes deberán declararlos como parte de su patrimonio, y de igual forma, quienes deberán incluir en su denuncio rentístico los ingresos percibidos por la enajenación de estos en proporción al porcentaje establecido en el contrato.</w:t>
      </w:r>
    </w:p>
    <w:p w14:paraId="04AE364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A640593"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 xml:space="preserve">4. En algunas plataformas virtuales están enajenado paquetes de educación financiera que incluyen unos tokens promocionales para minar criptoactivos, y de estos paquetes con tokens hay algunos que tienen unos valores muy representativos en dinero que van desde $ </w:t>
      </w:r>
      <w:r w:rsidRPr="000F0C6F">
        <w:rPr>
          <w:rFonts w:ascii="Times New Roman" w:eastAsia="Times New Roman" w:hAnsi="Times New Roman" w:cs="Times New Roman"/>
          <w:i/>
          <w:iCs/>
          <w:sz w:val="24"/>
          <w:szCs w:val="24"/>
          <w:u w:val="single"/>
          <w:lang w:eastAsia="es-CO"/>
        </w:rPr>
        <w:lastRenderedPageBreak/>
        <w:t xml:space="preserve">1.000.000 hasta $ 250.000.000. Es decir, se están adquiriendo paquetes educativos incluyendo </w:t>
      </w:r>
      <w:r w:rsidRPr="004F66E9">
        <w:rPr>
          <w:rFonts w:ascii="Times New Roman" w:eastAsia="Times New Roman" w:hAnsi="Times New Roman" w:cs="Times New Roman"/>
          <w:b/>
          <w:bCs/>
          <w:i/>
          <w:iCs/>
          <w:sz w:val="24"/>
          <w:szCs w:val="24"/>
          <w:u w:val="single"/>
          <w:lang w:eastAsia="es-CO"/>
        </w:rPr>
        <w:t>criptoactivos</w:t>
      </w:r>
      <w:r w:rsidRPr="000F0C6F">
        <w:rPr>
          <w:rFonts w:ascii="Times New Roman" w:eastAsia="Times New Roman" w:hAnsi="Times New Roman" w:cs="Times New Roman"/>
          <w:i/>
          <w:iCs/>
          <w:sz w:val="24"/>
          <w:szCs w:val="24"/>
          <w:u w:val="single"/>
          <w:lang w:eastAsia="es-CO"/>
        </w:rPr>
        <w:t xml:space="preserve"> por un valor determinado.</w:t>
      </w:r>
    </w:p>
    <w:p w14:paraId="5A36A773"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DC2D8D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Con respecto a lo anterior:</w:t>
      </w:r>
    </w:p>
    <w:p w14:paraId="3704B54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4AAC09B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 ¿El valor de adquisición de los paquetes educativos con tokens disponibles para minar, se puede tomar como costo fiscal de los criptoactivos que se minan con esos tokens?</w:t>
      </w:r>
    </w:p>
    <w:p w14:paraId="44FC800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5C947C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Para la determinación de los bienes existen diversos factores, de los cuales dependerán si el contribuyente es persona jurídica o persona natural, obligada o no a llevar contabilidad entre otros. En este sentido, esto dependerá de cómo se reconoció el activo por parte del enajenante, al momento de la adquisición. Por lo tanto, para la determinación de si este tipo de erogaciones constituyen costo fiscal deberá observarse lo establecido en el capítulo 2 </w:t>
      </w:r>
      <w:hyperlink r:id="rId21" w:tooltip="Estatuto Tributario CETA" w:history="1">
        <w:r w:rsidRPr="000F0C6F">
          <w:rPr>
            <w:rFonts w:ascii="Times New Roman" w:eastAsia="Times New Roman" w:hAnsi="Times New Roman" w:cs="Times New Roman"/>
            <w:sz w:val="24"/>
            <w:szCs w:val="24"/>
            <w:lang w:eastAsia="es-CO"/>
          </w:rPr>
          <w:t>artículo 58</w:t>
        </w:r>
      </w:hyperlink>
      <w:r w:rsidRPr="000F0C6F">
        <w:rPr>
          <w:rFonts w:ascii="Times New Roman" w:eastAsia="Times New Roman" w:hAnsi="Times New Roman" w:cs="Times New Roman"/>
          <w:sz w:val="24"/>
          <w:szCs w:val="24"/>
          <w:lang w:eastAsia="es-CO"/>
        </w:rPr>
        <w:t> y siguientes del Estatuto Tributario. Adicionalmente dichos costos deberán estar debidamente soportados de acuerdo con lo establecido en el </w:t>
      </w:r>
      <w:hyperlink r:id="rId22" w:tooltip="Estatuto Tributario CETA" w:history="1">
        <w:r w:rsidRPr="000F0C6F">
          <w:rPr>
            <w:rFonts w:ascii="Times New Roman" w:eastAsia="Times New Roman" w:hAnsi="Times New Roman" w:cs="Times New Roman"/>
            <w:sz w:val="24"/>
            <w:szCs w:val="24"/>
            <w:lang w:eastAsia="es-CO"/>
          </w:rPr>
          <w:t>artículo 771-2</w:t>
        </w:r>
      </w:hyperlink>
      <w:r w:rsidRPr="000F0C6F">
        <w:rPr>
          <w:rFonts w:ascii="Times New Roman" w:eastAsia="Times New Roman" w:hAnsi="Times New Roman" w:cs="Times New Roman"/>
          <w:sz w:val="24"/>
          <w:szCs w:val="24"/>
          <w:lang w:eastAsia="es-CO"/>
        </w:rPr>
        <w:t> del Estatuto Tributario, el cual indica lo siguiente:</w:t>
      </w:r>
    </w:p>
    <w:p w14:paraId="35D30A43"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C3D80E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“Para la procedencia de costos y deducciones en el impuesto sobre la renta, así como de los impuestos descontables en el impuesto sobre las ventas, se requerirá de facturas con el cumplimiento de los requisitos establecidos en los literales b), c), d), e), f) y g) de los artículos </w:t>
      </w:r>
      <w:hyperlink r:id="rId23" w:tooltip="Estatuto Tributario CETA" w:history="1">
        <w:r w:rsidRPr="000F0C6F">
          <w:rPr>
            <w:rFonts w:ascii="Times New Roman" w:eastAsia="Times New Roman" w:hAnsi="Times New Roman" w:cs="Times New Roman"/>
            <w:i/>
            <w:iCs/>
            <w:sz w:val="24"/>
            <w:szCs w:val="24"/>
            <w:lang w:eastAsia="es-CO"/>
          </w:rPr>
          <w:t>617</w:t>
        </w:r>
      </w:hyperlink>
      <w:r w:rsidRPr="000F0C6F">
        <w:rPr>
          <w:rFonts w:ascii="Times New Roman" w:eastAsia="Times New Roman" w:hAnsi="Times New Roman" w:cs="Times New Roman"/>
          <w:i/>
          <w:iCs/>
          <w:sz w:val="24"/>
          <w:szCs w:val="24"/>
          <w:lang w:eastAsia="es-CO"/>
        </w:rPr>
        <w:t> y </w:t>
      </w:r>
      <w:hyperlink r:id="rId24" w:tooltip="Estatuto Tributario CETA" w:history="1">
        <w:r w:rsidRPr="000F0C6F">
          <w:rPr>
            <w:rFonts w:ascii="Times New Roman" w:eastAsia="Times New Roman" w:hAnsi="Times New Roman" w:cs="Times New Roman"/>
            <w:i/>
            <w:iCs/>
            <w:sz w:val="24"/>
            <w:szCs w:val="24"/>
            <w:lang w:eastAsia="es-CO"/>
          </w:rPr>
          <w:t>618</w:t>
        </w:r>
      </w:hyperlink>
      <w:r w:rsidRPr="000F0C6F">
        <w:rPr>
          <w:rFonts w:ascii="Times New Roman" w:eastAsia="Times New Roman" w:hAnsi="Times New Roman" w:cs="Times New Roman"/>
          <w:i/>
          <w:iCs/>
          <w:sz w:val="24"/>
          <w:szCs w:val="24"/>
          <w:lang w:eastAsia="es-CO"/>
        </w:rPr>
        <w:t> del Estatuto Tributario.</w:t>
      </w:r>
    </w:p>
    <w:p w14:paraId="5E882D6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943E8A5"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Tratándose de documentos equivalentes se deberán cumplir los requisitos contenidos en los literales b), d), e) y g) del </w:t>
      </w:r>
      <w:hyperlink r:id="rId25" w:tooltip="Estatuto Tributario CETA" w:history="1">
        <w:r w:rsidRPr="000F0C6F">
          <w:rPr>
            <w:rFonts w:ascii="Times New Roman" w:eastAsia="Times New Roman" w:hAnsi="Times New Roman" w:cs="Times New Roman"/>
            <w:i/>
            <w:iCs/>
            <w:sz w:val="24"/>
            <w:szCs w:val="24"/>
            <w:lang w:eastAsia="es-CO"/>
          </w:rPr>
          <w:t>artículo 617</w:t>
        </w:r>
      </w:hyperlink>
      <w:r w:rsidRPr="000F0C6F">
        <w:rPr>
          <w:rFonts w:ascii="Times New Roman" w:eastAsia="Times New Roman" w:hAnsi="Times New Roman" w:cs="Times New Roman"/>
          <w:i/>
          <w:iCs/>
          <w:sz w:val="24"/>
          <w:szCs w:val="24"/>
          <w:lang w:eastAsia="es-CO"/>
        </w:rPr>
        <w:t> del Estatuto Tributario.</w:t>
      </w:r>
    </w:p>
    <w:p w14:paraId="2D40DC4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C50786D"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2628AA24"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113F7E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PAR.</w:t>
      </w:r>
      <w:r w:rsidRPr="000F0C6F">
        <w:rPr>
          <w:rFonts w:ascii="Times New Roman" w:eastAsia="Times New Roman" w:hAnsi="Times New Roman" w:cs="Times New Roman"/>
          <w:i/>
          <w:iCs/>
          <w:sz w:val="24"/>
          <w:szCs w:val="24"/>
          <w:lang w:eastAsia="es-CO"/>
        </w:rPr>
        <w:t> En lo referente al cumplimiento del requisito establecido en el literal d) del </w:t>
      </w:r>
      <w:hyperlink r:id="rId26" w:tooltip="Estatuto Tributario CETA" w:history="1">
        <w:r w:rsidRPr="000F0C6F">
          <w:rPr>
            <w:rFonts w:ascii="Times New Roman" w:eastAsia="Times New Roman" w:hAnsi="Times New Roman" w:cs="Times New Roman"/>
            <w:i/>
            <w:iCs/>
            <w:sz w:val="24"/>
            <w:szCs w:val="24"/>
            <w:lang w:eastAsia="es-CO"/>
          </w:rPr>
          <w:t>artículo 617</w:t>
        </w:r>
      </w:hyperlink>
      <w:r w:rsidRPr="000F0C6F">
        <w:rPr>
          <w:rFonts w:ascii="Times New Roman" w:eastAsia="Times New Roman" w:hAnsi="Times New Roman" w:cs="Times New Roman"/>
          <w:i/>
          <w:iCs/>
          <w:sz w:val="24"/>
          <w:szCs w:val="24"/>
          <w:lang w:eastAsia="es-CO"/>
        </w:rPr>
        <w:t> del Estatuto Tributario para la procedencia de costos, deducciones y de impuestos descontables, bastará que la factura o documento equivalente contenga la correspondiente numeración.</w:t>
      </w:r>
    </w:p>
    <w:p w14:paraId="761B188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88A2183"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PARÁGRAFO 2.</w:t>
      </w:r>
      <w:r w:rsidRPr="000F0C6F">
        <w:rPr>
          <w:rFonts w:ascii="Times New Roman" w:eastAsia="Times New Roman" w:hAnsi="Times New Roman" w:cs="Times New Roman"/>
          <w:i/>
          <w:iCs/>
          <w:sz w:val="24"/>
          <w:szCs w:val="24"/>
          <w:lang w:eastAsia="es-CO"/>
        </w:rPr>
        <w:t> Sin perjuicio de lo establecido en este artículo, los costos y deducciones efectivamente realizados durante el año o período gravable serán aceptados fiscalmente, así la factura de venta o documento equivalente tenga fecha del año o período siguiente, siempre y cuando se acredite la prestación del servicio o venta del bien en el año o período gravable.”</w:t>
      </w:r>
    </w:p>
    <w:p w14:paraId="36344B79"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F40333B"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5. Con base en el Decreto 026 de 2016 que reglamentó la Ley 1700 de 2013 sobre las actividades en red o multinivel en Colombia, se está comercializando en Colombia unos paquetes de educación financiera, de idiomas, etc. de empresas ubicadas en el exterior y otras a través de agentes independientes persona natural, agencias comerciales o establecimientos permanentes ubicados en Colombia.</w:t>
      </w:r>
    </w:p>
    <w:p w14:paraId="2CFA22D8"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3178C17"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lastRenderedPageBreak/>
        <w:t>¿Cuál es el tratamiento fiscal de las comisiones en dólar o en euros que ganan los agentes independientes personas naturales, agencias comerciales, o establecimiento permanente por venta de paquetes educativos en Colombia, si quien paga las comisiones es la empresa ubicada en el exterior?</w:t>
      </w:r>
    </w:p>
    <w:p w14:paraId="09661D1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D776AF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Si los agentes independientes personas naturales, agencias comerciales, o establecimientos permanentes son del régimen común, ¿Deberán separar el ingreso y el IVA de la comisión recibida?</w:t>
      </w:r>
    </w:p>
    <w:p w14:paraId="594FCE5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5AAB69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a. Impuesto sobre las ventas:</w:t>
      </w:r>
    </w:p>
    <w:p w14:paraId="612ABAE8"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F513524"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El literal c) del </w:t>
      </w:r>
      <w:hyperlink r:id="rId27" w:tooltip="Estatuto Tributario CETA" w:history="1">
        <w:r w:rsidRPr="000F0C6F">
          <w:rPr>
            <w:rFonts w:ascii="Times New Roman" w:eastAsia="Times New Roman" w:hAnsi="Times New Roman" w:cs="Times New Roman"/>
            <w:sz w:val="24"/>
            <w:szCs w:val="24"/>
            <w:lang w:eastAsia="es-CO"/>
          </w:rPr>
          <w:t>artículo 420</w:t>
        </w:r>
      </w:hyperlink>
      <w:r w:rsidRPr="000F0C6F">
        <w:rPr>
          <w:rFonts w:ascii="Times New Roman" w:eastAsia="Times New Roman" w:hAnsi="Times New Roman" w:cs="Times New Roman"/>
          <w:sz w:val="24"/>
          <w:szCs w:val="24"/>
          <w:lang w:eastAsia="es-CO"/>
        </w:rPr>
        <w:t> del Estatuto Tributario señala que el impuesto sobre las ventas IVA se aplicará sobre la prestación de servicios en el territorio nacional, o desde el exterior, razón por la cual si una persona natural o jurídica presta servicios en Colombia debe pagar el IVA y cumplir con todas las obligaciones atinentes, salvo que el servicio se considere exento o excluido.</w:t>
      </w:r>
    </w:p>
    <w:p w14:paraId="29707E4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BA8EEE3"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De esta manera, cuando una persona natural o jurídica presta el servicio de promoción o intermediación de ventas del exterior en el país en virtud de lo cual percibe una comisión, el servicio no se utiliza total y exclusivamente en el exterior y por ende no se trata de la exportación de un servicio en los términos del literal c) del </w:t>
      </w:r>
      <w:hyperlink r:id="rId28" w:tooltip="Estatuto Tributario CETA" w:history="1">
        <w:r w:rsidRPr="000F0C6F">
          <w:rPr>
            <w:rFonts w:ascii="Times New Roman" w:eastAsia="Times New Roman" w:hAnsi="Times New Roman" w:cs="Times New Roman"/>
            <w:sz w:val="24"/>
            <w:szCs w:val="24"/>
            <w:lang w:eastAsia="es-CO"/>
          </w:rPr>
          <w:t>artículo 481</w:t>
        </w:r>
      </w:hyperlink>
      <w:r w:rsidRPr="000F0C6F">
        <w:rPr>
          <w:rFonts w:ascii="Times New Roman" w:eastAsia="Times New Roman" w:hAnsi="Times New Roman" w:cs="Times New Roman"/>
          <w:sz w:val="24"/>
          <w:szCs w:val="24"/>
          <w:lang w:eastAsia="es-CO"/>
        </w:rPr>
        <w:t> del Estatuto Tributario.</w:t>
      </w:r>
    </w:p>
    <w:p w14:paraId="7AE161C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3716EBB"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En vista de lo anterior, consideramos que el servicio prestado por los agentes independientes personas naturales, agencias comerciales o establecimientos permanentes por la venta de paquetes educativos en Colombia no podrá ser susceptible de la exención el impuesto sobre las ventas siempre teniendo en cuenta que cuando se cumplen los requisitos del literal c) del </w:t>
      </w:r>
      <w:hyperlink r:id="rId29" w:tooltip="Estatuto Tributario CETA" w:history="1">
        <w:r w:rsidRPr="000F0C6F">
          <w:rPr>
            <w:rFonts w:ascii="Times New Roman" w:eastAsia="Times New Roman" w:hAnsi="Times New Roman" w:cs="Times New Roman"/>
            <w:sz w:val="24"/>
            <w:szCs w:val="24"/>
            <w:lang w:eastAsia="es-CO"/>
          </w:rPr>
          <w:t>artículo 481</w:t>
        </w:r>
      </w:hyperlink>
      <w:r w:rsidRPr="000F0C6F">
        <w:rPr>
          <w:rFonts w:ascii="Times New Roman" w:eastAsia="Times New Roman" w:hAnsi="Times New Roman" w:cs="Times New Roman"/>
          <w:sz w:val="24"/>
          <w:szCs w:val="24"/>
          <w:lang w:eastAsia="es-CO"/>
        </w:rPr>
        <w:t> del Estatuto Tributario. Dicho artículo establece lo siguiente:</w:t>
      </w:r>
    </w:p>
    <w:p w14:paraId="21B1C896"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C68F55D"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u w:val="single"/>
          <w:lang w:eastAsia="es-CO"/>
        </w:rPr>
        <w:t>“c. Los servicios que sean prestados en el país y se utilicen exclusivamente en el exterior </w:t>
      </w:r>
      <w:r w:rsidRPr="000F0C6F">
        <w:rPr>
          <w:rFonts w:ascii="Times New Roman" w:eastAsia="Times New Roman" w:hAnsi="Times New Roman" w:cs="Times New Roman"/>
          <w:b/>
          <w:bCs/>
          <w:i/>
          <w:iCs/>
          <w:sz w:val="24"/>
          <w:szCs w:val="24"/>
          <w:u w:val="single"/>
          <w:lang w:eastAsia="es-CO"/>
        </w:rPr>
        <w:t>por empresas o personas sin negocios o actividades en Colombia,</w:t>
      </w:r>
      <w:r w:rsidRPr="000F0C6F">
        <w:rPr>
          <w:rFonts w:ascii="Times New Roman" w:eastAsia="Times New Roman" w:hAnsi="Times New Roman" w:cs="Times New Roman"/>
          <w:i/>
          <w:iCs/>
          <w:sz w:val="24"/>
          <w:szCs w:val="24"/>
          <w:u w:val="single"/>
          <w:lang w:eastAsia="es-CO"/>
        </w:rPr>
        <w:t> de acuerdo con los requisitos que señale el reglamento. Quienes exporten servicios deberán conservar los documentos que acrediten debidamente la existencia de la operación. El Gobierno Nacional reglamentará la materia.”</w:t>
      </w:r>
    </w:p>
    <w:p w14:paraId="2199C69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363F4C8"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Como se puede observar, para la aplicación de dicha exclusión es necesario </w:t>
      </w:r>
      <w:r w:rsidRPr="000F0C6F">
        <w:rPr>
          <w:rFonts w:ascii="Times New Roman" w:eastAsia="Times New Roman" w:hAnsi="Times New Roman" w:cs="Times New Roman"/>
          <w:b/>
          <w:bCs/>
          <w:sz w:val="24"/>
          <w:szCs w:val="24"/>
          <w:lang w:eastAsia="es-CO"/>
        </w:rPr>
        <w:t>que i) el servicio sea prestado desde Colombia, ii) sea exclusivamente utilizado en el exterior y iii) que el beneficiario no cuente con negocios o desarrolle actividades en Colombia y demás requisitos establecido en el reglamento sobre la materia.</w:t>
      </w:r>
    </w:p>
    <w:p w14:paraId="4CB26E67"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44245C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b. Impuesto sobre la renta y complementarios.</w:t>
      </w:r>
    </w:p>
    <w:p w14:paraId="2D7BAD6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CB7EE41"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Los ingresos percibidos como comisión por los agentes independientes personas naturales, agencias comerciales, o establecimiento permanente por la venta de paquetes educativos en Colombia serán reconocidos como ingresos de fuente nacional en los términos del numeral 5 del </w:t>
      </w:r>
      <w:hyperlink r:id="rId30" w:tooltip="Estatuto Tributario CETA" w:history="1">
        <w:r w:rsidRPr="000F0C6F">
          <w:rPr>
            <w:rFonts w:ascii="Times New Roman" w:eastAsia="Times New Roman" w:hAnsi="Times New Roman" w:cs="Times New Roman"/>
            <w:sz w:val="24"/>
            <w:szCs w:val="24"/>
            <w:lang w:eastAsia="es-CO"/>
          </w:rPr>
          <w:t>artículo 24</w:t>
        </w:r>
      </w:hyperlink>
      <w:r w:rsidRPr="000F0C6F">
        <w:rPr>
          <w:rFonts w:ascii="Times New Roman" w:eastAsia="Times New Roman" w:hAnsi="Times New Roman" w:cs="Times New Roman"/>
          <w:sz w:val="24"/>
          <w:szCs w:val="24"/>
          <w:lang w:eastAsia="es-CO"/>
        </w:rPr>
        <w:t xml:space="preserve"> del Estatuto tributario, por lo cual constituirán ingresos gravables para efectos del impuesto sobre la renta y complementarios en Colombia. Por consiguiente, los </w:t>
      </w:r>
      <w:r w:rsidRPr="000F0C6F">
        <w:rPr>
          <w:rFonts w:ascii="Times New Roman" w:eastAsia="Times New Roman" w:hAnsi="Times New Roman" w:cs="Times New Roman"/>
          <w:sz w:val="24"/>
          <w:szCs w:val="24"/>
          <w:lang w:eastAsia="es-CO"/>
        </w:rPr>
        <w:lastRenderedPageBreak/>
        <w:t>mismos deberán ser declarados por estos contribuyentes en su declaración del impuesto sobre la renta en virtud del desarrollo de su actividad de conformidad con las normas establecidas en el Estatuto Tributario.</w:t>
      </w:r>
    </w:p>
    <w:p w14:paraId="373C2967"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A0D1C94"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¿Los agentes independientes personas naturales, agencias comerciales, o establecimientos permanentes del régimen común deberán expedir facturas a la empresa del exterior por las comisiones?</w:t>
      </w:r>
    </w:p>
    <w:p w14:paraId="040E0A2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9A8FA8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En primer lugar, es importante recalcar que la Ley 1943 de 2018 modificó los términos Régimen simplificado o Común por no responsables o responsables del impuesto sobre las ventas.</w:t>
      </w:r>
    </w:p>
    <w:p w14:paraId="529EC309"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FAD158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Por regla general todos las personas o entidades que realicen operaciones económicas tendrán el deber de expedir facturas con cumplimientos de los requisitos formales. No obstante, el artículo 1.6.1.4.2 del Decreto Único reglamentario establece quienes no están obligados a facturar:</w:t>
      </w:r>
    </w:p>
    <w:p w14:paraId="1E1E9230"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15DB083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“1.6.1.4.2. No obligados a facturar.</w:t>
      </w:r>
      <w:r w:rsidRPr="000F0C6F">
        <w:rPr>
          <w:rFonts w:ascii="Times New Roman" w:eastAsia="Times New Roman" w:hAnsi="Times New Roman" w:cs="Times New Roman"/>
          <w:i/>
          <w:iCs/>
          <w:sz w:val="24"/>
          <w:szCs w:val="24"/>
          <w:lang w:eastAsia="es-CO"/>
        </w:rPr>
        <w:t> No se encuentran obligados a expedir factura en sus operaciones:</w:t>
      </w:r>
    </w:p>
    <w:p w14:paraId="0ED7ECF9"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CAAB3A6"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a) Los Bancos, las Corporaciones Financieras y las Compañías de Financiamiento;</w:t>
      </w:r>
    </w:p>
    <w:p w14:paraId="0BBA9AB6"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b) 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10CDDC76"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c) Los responsables del régimen simplificado;</w:t>
      </w:r>
    </w:p>
    <w:p w14:paraId="448F5204"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d) Los distribuidores minoristas de combustibles derivados del petróleo y gas natural comprimido, en lo referente a estos productos;</w:t>
      </w:r>
    </w:p>
    <w:p w14:paraId="494A314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e) Las empresas que presten el servicio de transporte público urbano o metropolitano de pasajeros, en relación con estas actividades;</w:t>
      </w:r>
    </w:p>
    <w:p w14:paraId="3E524C9C"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f) Quienes presten servicios de baños públicos, en relación con esta actividad;</w:t>
      </w:r>
    </w:p>
    <w:p w14:paraId="7651DD40"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g) Las personas naturales vinculadas por una relación laboral o legal y reglamentaria, en relación con esta actividad;</w:t>
      </w:r>
    </w:p>
    <w:p w14:paraId="3DA1E59F"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h) Las personas naturales que únicamente vendan excluidos del impuesto sobre las ventas o presten servicios no gravados, siempre y cuando no sobrepasen los topes de ingresos y patrimonio exigidos a los responsables del régimen simplificado.</w:t>
      </w:r>
    </w:p>
    <w:p w14:paraId="06F2EAE5"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029F669"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Parágrafo 1°.</w:t>
      </w:r>
      <w:r w:rsidRPr="000F0C6F">
        <w:rPr>
          <w:rFonts w:ascii="Times New Roman" w:eastAsia="Times New Roman" w:hAnsi="Times New Roman" w:cs="Times New Roman"/>
          <w:i/>
          <w:iCs/>
          <w:sz w:val="24"/>
          <w:szCs w:val="24"/>
          <w:lang w:eastAsia="es-CO"/>
        </w:rPr>
        <w:t> Las personas no obligadas a expedir factura o documento equivalente, si optan por expedirlos, deberán hacerlo cumpliendo los requisitos señalados para cada documento, según el caso.</w:t>
      </w:r>
    </w:p>
    <w:p w14:paraId="54DEDBDB"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4A545D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Parágrafo 2°.</w:t>
      </w:r>
      <w:r w:rsidRPr="000F0C6F">
        <w:rPr>
          <w:rFonts w:ascii="Times New Roman" w:eastAsia="Times New Roman" w:hAnsi="Times New Roman" w:cs="Times New Roman"/>
          <w:i/>
          <w:iCs/>
          <w:sz w:val="24"/>
          <w:szCs w:val="24"/>
          <w:lang w:eastAsia="es-CO"/>
        </w:rPr>
        <w:t> Los tipógrafos y litógrafos que pertenezcan al régimen simplificado del impuesto sobre las ventas, deberán expedir factura por el servicio prestado, de conformidad con lo previsto en el </w:t>
      </w:r>
      <w:hyperlink r:id="rId31" w:tooltip="Estatuto Tributario CETA" w:history="1">
        <w:r w:rsidRPr="000F0C6F">
          <w:rPr>
            <w:rFonts w:ascii="Times New Roman" w:eastAsia="Times New Roman" w:hAnsi="Times New Roman" w:cs="Times New Roman"/>
            <w:i/>
            <w:iCs/>
            <w:sz w:val="24"/>
            <w:szCs w:val="24"/>
            <w:lang w:eastAsia="es-CO"/>
          </w:rPr>
          <w:t>artículo 618-2</w:t>
        </w:r>
      </w:hyperlink>
      <w:r w:rsidRPr="000F0C6F">
        <w:rPr>
          <w:rFonts w:ascii="Times New Roman" w:eastAsia="Times New Roman" w:hAnsi="Times New Roman" w:cs="Times New Roman"/>
          <w:i/>
          <w:iCs/>
          <w:sz w:val="24"/>
          <w:szCs w:val="24"/>
          <w:lang w:eastAsia="es-CO"/>
        </w:rPr>
        <w:t> del Estatuto Tributario.”</w:t>
      </w:r>
    </w:p>
    <w:p w14:paraId="5375F8F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FDBFE3B"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lastRenderedPageBreak/>
        <w:t>¿Se entiende que es exportación de servicios la intermediación de los agentes independientes personas naturales, agencias comerciales, o establecimientos permanentes?</w:t>
      </w:r>
    </w:p>
    <w:p w14:paraId="65B4FE9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6B98BD80"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De conformidad con el Concepto 082625 de 2013, la prestación de servicios de intermediación mediante contratos tales como agencia comercial o corretaje por parte de una sociedad colombiana a compañías del exterior, vinculadas o no, se considerará una exportación de servicios y por ende exenta de IVA si se cumplen los requisitos contenidos en la ley y el reglamento, </w:t>
      </w:r>
      <w:r w:rsidRPr="000F0C6F">
        <w:rPr>
          <w:rFonts w:ascii="Times New Roman" w:eastAsia="Times New Roman" w:hAnsi="Times New Roman" w:cs="Times New Roman"/>
          <w:b/>
          <w:bCs/>
          <w:i/>
          <w:iCs/>
          <w:sz w:val="24"/>
          <w:szCs w:val="24"/>
          <w:u w:val="single"/>
          <w:lang w:eastAsia="es-CO"/>
        </w:rPr>
        <w:t>razón por la cual será necesario analizar cada caso particular.</w:t>
      </w:r>
    </w:p>
    <w:p w14:paraId="5DAAC9F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C13DDB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u w:val="single"/>
          <w:lang w:eastAsia="es-CO"/>
        </w:rPr>
        <w:t>¿El valor del paquete educativo con o sin tokens estaría gravado con el IVA por tanto la empresa del exterior tendría que inscribirse en el RUT presentando declaraciones del impuesto sobre las ventas o si se acoja voluntariamente el proveedor del servicio a lo dispuesto a la retención según el literal d) (suministro de enseñanza o entretenimiento a distancia) del artículo del numeral 8 del </w:t>
      </w:r>
      <w:hyperlink r:id="rId32" w:tooltip="Estatuto Tributario CETA" w:history="1">
        <w:r w:rsidRPr="000F0C6F">
          <w:rPr>
            <w:rFonts w:ascii="Times New Roman" w:eastAsia="Times New Roman" w:hAnsi="Times New Roman" w:cs="Times New Roman"/>
            <w:b/>
            <w:bCs/>
            <w:i/>
            <w:iCs/>
            <w:sz w:val="24"/>
            <w:szCs w:val="24"/>
            <w:lang w:eastAsia="es-CO"/>
          </w:rPr>
          <w:t>artículo 437-2</w:t>
        </w:r>
      </w:hyperlink>
      <w:r w:rsidRPr="000F0C6F">
        <w:rPr>
          <w:rFonts w:ascii="Times New Roman" w:eastAsia="Times New Roman" w:hAnsi="Times New Roman" w:cs="Times New Roman"/>
          <w:b/>
          <w:bCs/>
          <w:i/>
          <w:iCs/>
          <w:sz w:val="24"/>
          <w:szCs w:val="24"/>
          <w:u w:val="single"/>
          <w:lang w:eastAsia="es-CO"/>
        </w:rPr>
        <w:t> del Estatuto Tributario ¿o Estaría excluido del IVA según lo dispuesto en el numeral 6 del </w:t>
      </w:r>
      <w:hyperlink r:id="rId33" w:tooltip="Estatuto Tributario CETA" w:history="1">
        <w:r w:rsidRPr="000F0C6F">
          <w:rPr>
            <w:rFonts w:ascii="Times New Roman" w:eastAsia="Times New Roman" w:hAnsi="Times New Roman" w:cs="Times New Roman"/>
            <w:b/>
            <w:bCs/>
            <w:i/>
            <w:iCs/>
            <w:sz w:val="24"/>
            <w:szCs w:val="24"/>
            <w:lang w:eastAsia="es-CO"/>
          </w:rPr>
          <w:t>artículo 476</w:t>
        </w:r>
      </w:hyperlink>
      <w:r w:rsidRPr="000F0C6F">
        <w:rPr>
          <w:rFonts w:ascii="Times New Roman" w:eastAsia="Times New Roman" w:hAnsi="Times New Roman" w:cs="Times New Roman"/>
          <w:b/>
          <w:bCs/>
          <w:i/>
          <w:iCs/>
          <w:sz w:val="24"/>
          <w:szCs w:val="24"/>
          <w:u w:val="single"/>
          <w:lang w:eastAsia="es-CO"/>
        </w:rPr>
        <w:t> del Estatuto Tributario?</w:t>
      </w:r>
    </w:p>
    <w:p w14:paraId="212E1B36"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00D6BD2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El </w:t>
      </w:r>
      <w:hyperlink r:id="rId34" w:tooltip="Estatuto Tributario CETA" w:history="1">
        <w:r w:rsidRPr="000F0C6F">
          <w:rPr>
            <w:rFonts w:ascii="Times New Roman" w:eastAsia="Times New Roman" w:hAnsi="Times New Roman" w:cs="Times New Roman"/>
            <w:sz w:val="24"/>
            <w:szCs w:val="24"/>
            <w:lang w:eastAsia="es-CO"/>
          </w:rPr>
          <w:t>artículo 476</w:t>
        </w:r>
      </w:hyperlink>
      <w:r w:rsidRPr="000F0C6F">
        <w:rPr>
          <w:rFonts w:ascii="Times New Roman" w:eastAsia="Times New Roman" w:hAnsi="Times New Roman" w:cs="Times New Roman"/>
          <w:sz w:val="24"/>
          <w:szCs w:val="24"/>
          <w:lang w:eastAsia="es-CO"/>
        </w:rPr>
        <w:t> del Estatuto Tributario establece:</w:t>
      </w:r>
    </w:p>
    <w:p w14:paraId="49239FD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6B8D68C"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i/>
          <w:iCs/>
          <w:sz w:val="24"/>
          <w:szCs w:val="24"/>
          <w:lang w:eastAsia="es-CO"/>
        </w:rPr>
        <w:t>“</w:t>
      </w:r>
      <w:hyperlink r:id="rId35" w:tooltip="Estatuto Tributario CETA" w:history="1">
        <w:r w:rsidRPr="000F0C6F">
          <w:rPr>
            <w:rFonts w:ascii="Times New Roman" w:eastAsia="Times New Roman" w:hAnsi="Times New Roman" w:cs="Times New Roman"/>
            <w:b/>
            <w:bCs/>
            <w:i/>
            <w:iCs/>
            <w:sz w:val="24"/>
            <w:szCs w:val="24"/>
            <w:lang w:eastAsia="es-CO"/>
          </w:rPr>
          <w:t>ARTÍCULO 476</w:t>
        </w:r>
      </w:hyperlink>
      <w:r w:rsidRPr="000F0C6F">
        <w:rPr>
          <w:rFonts w:ascii="Times New Roman" w:eastAsia="Times New Roman" w:hAnsi="Times New Roman" w:cs="Times New Roman"/>
          <w:b/>
          <w:bCs/>
          <w:i/>
          <w:iCs/>
          <w:sz w:val="24"/>
          <w:szCs w:val="24"/>
          <w:lang w:eastAsia="es-CO"/>
        </w:rPr>
        <w:t>. SERVICIOS EXCLUIDOS DEL IMPUESTO SOBRE LAS VENTAS.</w:t>
      </w:r>
      <w:r w:rsidRPr="000F0C6F">
        <w:rPr>
          <w:rFonts w:ascii="Times New Roman" w:eastAsia="Times New Roman" w:hAnsi="Times New Roman" w:cs="Times New Roman"/>
          <w:i/>
          <w:iCs/>
          <w:sz w:val="24"/>
          <w:szCs w:val="24"/>
          <w:lang w:eastAsia="es-CO"/>
        </w:rPr>
        <w:t> Se exceptúan del impuesto los siguientes servicios:</w:t>
      </w:r>
    </w:p>
    <w:p w14:paraId="2C0BA86E"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6494945" w14:textId="77777777" w:rsidR="000F0C6F" w:rsidRPr="000F0C6F" w:rsidRDefault="000F0C6F" w:rsidP="000F0C6F">
      <w:pPr>
        <w:shd w:val="clear" w:color="auto" w:fill="FFFFFF"/>
        <w:spacing w:after="0" w:line="240" w:lineRule="auto"/>
        <w:ind w:left="284"/>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i/>
          <w:iCs/>
          <w:sz w:val="24"/>
          <w:szCs w:val="24"/>
          <w:lang w:eastAsia="es-CO"/>
        </w:rPr>
        <w:t>… 5. Los servicios de educación prestados por </w:t>
      </w:r>
      <w:r w:rsidRPr="000F0C6F">
        <w:rPr>
          <w:rFonts w:ascii="Times New Roman" w:eastAsia="Times New Roman" w:hAnsi="Times New Roman" w:cs="Times New Roman"/>
          <w:b/>
          <w:bCs/>
          <w:i/>
          <w:iCs/>
          <w:sz w:val="24"/>
          <w:szCs w:val="24"/>
          <w:lang w:eastAsia="es-CO"/>
        </w:rPr>
        <w:t>establecimientos de educación prescolar, primaria, media e intermedia, superior y especial o no formal, reconocidos como tales por el Gobierno,</w:t>
      </w:r>
      <w:r w:rsidRPr="000F0C6F">
        <w:rPr>
          <w:rFonts w:ascii="Times New Roman" w:eastAsia="Times New Roman" w:hAnsi="Times New Roman" w:cs="Times New Roman"/>
          <w:i/>
          <w:iCs/>
          <w:sz w:val="24"/>
          <w:szCs w:val="24"/>
          <w:lang w:eastAsia="es-CO"/>
        </w:rPr>
        <w:t> y los servidos de educación prestados por personas naturales a dichos establecimientos. Están excluidos igualmente los siguientes servicios prestados por los establecimientos de educación a que se refiere el presente numeral: restaurante, cafetería y transporte, así como los que se presten en desarrollo de las Leyes 30 de 1392 y 115 de 1994. Igualmente están excluidos los servicios de evaluación de la educación y de elaboración y aplicación de exámenes para la selección y promoción de personal, prestados por organismos o entidades de la administración pública.”</w:t>
      </w:r>
    </w:p>
    <w:p w14:paraId="548CB694"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354535CA"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Como se puede observar, la prestación de este tipo de servicios deberá estar reconocidas por el Gobierno nacional como tal. Por lo cual que si tiene algunas dudas frente a los requisitos o tramite requerido para su reconocimiento deberá acercarse a la entidad correspondiente.</w:t>
      </w:r>
    </w:p>
    <w:p w14:paraId="3B2D610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56F0DAF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Por consiguiente, en caso de no cumplir con los requisitos previstos en el numeral 5 del </w:t>
      </w:r>
      <w:hyperlink r:id="rId36" w:tooltip="Estatuto Tributario CETA" w:history="1">
        <w:r w:rsidRPr="000F0C6F">
          <w:rPr>
            <w:rFonts w:ascii="Times New Roman" w:eastAsia="Times New Roman" w:hAnsi="Times New Roman" w:cs="Times New Roman"/>
            <w:sz w:val="24"/>
            <w:szCs w:val="24"/>
            <w:lang w:eastAsia="es-CO"/>
          </w:rPr>
          <w:t>artículo 476</w:t>
        </w:r>
      </w:hyperlink>
      <w:r w:rsidRPr="000F0C6F">
        <w:rPr>
          <w:rFonts w:ascii="Times New Roman" w:eastAsia="Times New Roman" w:hAnsi="Times New Roman" w:cs="Times New Roman"/>
          <w:sz w:val="24"/>
          <w:szCs w:val="24"/>
          <w:lang w:eastAsia="es-CO"/>
        </w:rPr>
        <w:t>, resultara aplicable el régimen de prestadores de servicios desde el exterior establecido en el literal 3 del </w:t>
      </w:r>
      <w:hyperlink r:id="rId37" w:tooltip="Estatuto Tributario CETA" w:history="1">
        <w:r w:rsidRPr="000F0C6F">
          <w:rPr>
            <w:rFonts w:ascii="Times New Roman" w:eastAsia="Times New Roman" w:hAnsi="Times New Roman" w:cs="Times New Roman"/>
            <w:sz w:val="24"/>
            <w:szCs w:val="24"/>
            <w:lang w:eastAsia="es-CO"/>
          </w:rPr>
          <w:t>artículo 420</w:t>
        </w:r>
      </w:hyperlink>
      <w:r w:rsidRPr="000F0C6F">
        <w:rPr>
          <w:rFonts w:ascii="Times New Roman" w:eastAsia="Times New Roman" w:hAnsi="Times New Roman" w:cs="Times New Roman"/>
          <w:sz w:val="24"/>
          <w:szCs w:val="24"/>
          <w:lang w:eastAsia="es-CO"/>
        </w:rPr>
        <w:t> y su parágrafo 3, numeral 2 del </w:t>
      </w:r>
      <w:hyperlink r:id="rId38" w:tooltip="Estatuto Tributario CETA" w:history="1">
        <w:r w:rsidRPr="000F0C6F">
          <w:rPr>
            <w:rFonts w:ascii="Times New Roman" w:eastAsia="Times New Roman" w:hAnsi="Times New Roman" w:cs="Times New Roman"/>
            <w:sz w:val="24"/>
            <w:szCs w:val="24"/>
            <w:lang w:eastAsia="es-CO"/>
          </w:rPr>
          <w:t>artículo 437</w:t>
        </w:r>
      </w:hyperlink>
      <w:r w:rsidRPr="000F0C6F">
        <w:rPr>
          <w:rFonts w:ascii="Times New Roman" w:eastAsia="Times New Roman" w:hAnsi="Times New Roman" w:cs="Times New Roman"/>
          <w:sz w:val="24"/>
          <w:szCs w:val="24"/>
          <w:lang w:eastAsia="es-CO"/>
        </w:rPr>
        <w:t> y el numeral 8 del </w:t>
      </w:r>
      <w:hyperlink r:id="rId39" w:tooltip="Estatuto Tributario CETA" w:history="1">
        <w:r w:rsidRPr="000F0C6F">
          <w:rPr>
            <w:rFonts w:ascii="Times New Roman" w:eastAsia="Times New Roman" w:hAnsi="Times New Roman" w:cs="Times New Roman"/>
            <w:sz w:val="24"/>
            <w:szCs w:val="24"/>
            <w:lang w:eastAsia="es-CO"/>
          </w:rPr>
          <w:t>artículo 437-2</w:t>
        </w:r>
      </w:hyperlink>
      <w:r w:rsidRPr="000F0C6F">
        <w:rPr>
          <w:rFonts w:ascii="Times New Roman" w:eastAsia="Times New Roman" w:hAnsi="Times New Roman" w:cs="Times New Roman"/>
          <w:sz w:val="24"/>
          <w:szCs w:val="24"/>
          <w:lang w:eastAsia="es-CO"/>
        </w:rPr>
        <w:t> del Estatuto Tributario. Sobre sus obligaciones formales (como inscripción en el RUT) se deberá observar lo establecido en la Resolución 51 del 19 de octubre de 2018.</w:t>
      </w:r>
    </w:p>
    <w:p w14:paraId="710CBB6C"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76A00D5D" w14:textId="12F9D283"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Atentamente,</w:t>
      </w:r>
    </w:p>
    <w:p w14:paraId="752DA59D"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 </w:t>
      </w:r>
    </w:p>
    <w:p w14:paraId="2FD92742" w14:textId="4A36D755"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b/>
          <w:bCs/>
          <w:sz w:val="24"/>
          <w:szCs w:val="24"/>
          <w:lang w:eastAsia="es-CO"/>
        </w:rPr>
        <w:t>LORENZO CASTILLO BARVO</w:t>
      </w:r>
    </w:p>
    <w:p w14:paraId="38C3CB25"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lastRenderedPageBreak/>
        <w:t>Subdirector de Gestión Normativa y Doctrina (E)</w:t>
      </w:r>
    </w:p>
    <w:p w14:paraId="4A551ECF" w14:textId="77777777" w:rsidR="000F0C6F" w:rsidRP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Dirección De Gestión Jurídica</w:t>
      </w:r>
    </w:p>
    <w:p w14:paraId="3E8BD945" w14:textId="34EFC520" w:rsidR="000F0C6F" w:rsidRDefault="000F0C6F" w:rsidP="000F0C6F">
      <w:pPr>
        <w:shd w:val="clear" w:color="auto" w:fill="FFFFFF"/>
        <w:spacing w:after="0" w:line="240" w:lineRule="auto"/>
        <w:jc w:val="both"/>
        <w:rPr>
          <w:rFonts w:ascii="Times New Roman" w:eastAsia="Times New Roman" w:hAnsi="Times New Roman" w:cs="Times New Roman"/>
          <w:sz w:val="24"/>
          <w:szCs w:val="24"/>
          <w:lang w:eastAsia="es-CO"/>
        </w:rPr>
      </w:pPr>
      <w:r w:rsidRPr="000F0C6F">
        <w:rPr>
          <w:rFonts w:ascii="Times New Roman" w:eastAsia="Times New Roman" w:hAnsi="Times New Roman" w:cs="Times New Roman"/>
          <w:sz w:val="24"/>
          <w:szCs w:val="24"/>
          <w:lang w:eastAsia="es-CO"/>
        </w:rPr>
        <w:t>UAE-Dirección de Impuestos y Aduanas Nacionales</w:t>
      </w:r>
    </w:p>
    <w:p w14:paraId="6D6A3005" w14:textId="301680E2" w:rsidR="004F66E9" w:rsidRPr="000F0C6F" w:rsidRDefault="004F66E9" w:rsidP="000F0C6F">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161AFF64" w14:textId="77777777" w:rsidR="000F0C6F" w:rsidRPr="000F0C6F" w:rsidRDefault="000F0C6F">
      <w:pPr>
        <w:rPr>
          <w:rFonts w:ascii="Times New Roman" w:hAnsi="Times New Roman" w:cs="Times New Roman"/>
          <w:sz w:val="24"/>
          <w:szCs w:val="24"/>
        </w:rPr>
      </w:pPr>
    </w:p>
    <w:p w14:paraId="24C45235" w14:textId="77777777" w:rsidR="000F0C6F" w:rsidRPr="000F0C6F" w:rsidRDefault="000F0C6F">
      <w:pPr>
        <w:rPr>
          <w:rFonts w:ascii="Times New Roman" w:hAnsi="Times New Roman" w:cs="Times New Roman"/>
          <w:sz w:val="24"/>
          <w:szCs w:val="24"/>
        </w:rPr>
      </w:pPr>
    </w:p>
    <w:sectPr w:rsidR="000F0C6F" w:rsidRPr="000F0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6F"/>
    <w:rsid w:val="000F0C6F"/>
    <w:rsid w:val="004F66E9"/>
    <w:rsid w:val="009F46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7F"/>
  <w15:chartTrackingRefBased/>
  <w15:docId w15:val="{A1B41CBF-650F-48C6-9A2F-3CC0A916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342" TargetMode="External"/><Relationship Id="rId26" Type="http://schemas.openxmlformats.org/officeDocument/2006/relationships/hyperlink" Target="https://www.ceta.org.co/html/vista_de_un_articulo.asp?Norma=761" TargetMode="External"/><Relationship Id="rId39"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9" TargetMode="External"/><Relationship Id="rId34" Type="http://schemas.openxmlformats.org/officeDocument/2006/relationships/hyperlink" Target="https://www.ceta.org.co/html/vista_de_un_articulo.asp?Norma=595" TargetMode="External"/><Relationship Id="rId7" Type="http://schemas.openxmlformats.org/officeDocument/2006/relationships/hyperlink" Target="https://www.ceta.org.co/html/vista_de_un_articulo.asp?Norma=377" TargetMode="Externa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101" TargetMode="External"/><Relationship Id="rId25" Type="http://schemas.openxmlformats.org/officeDocument/2006/relationships/hyperlink" Target="https://www.ceta.org.co/html/vista_de_un_articulo.asp?Norma=761" TargetMode="External"/><Relationship Id="rId33" Type="http://schemas.openxmlformats.org/officeDocument/2006/relationships/hyperlink" Target="https://www.ceta.org.co/html/vista_de_un_articulo.asp?Norma=595" TargetMode="External"/><Relationship Id="rId38" Type="http://schemas.openxmlformats.org/officeDocument/2006/relationships/hyperlink" Target="https://www.ceta.org.co/html/vista_de_un_articulo.asp?Norma=548" TargetMode="External"/><Relationship Id="rId2" Type="http://schemas.openxmlformats.org/officeDocument/2006/relationships/settings" Target="settings.xml"/><Relationship Id="rId16" Type="http://schemas.openxmlformats.org/officeDocument/2006/relationships/hyperlink" Target="https://www.ceta.org.co/html/vista_de_un_articulo.asp?Norma=342" TargetMode="External"/><Relationship Id="rId20" Type="http://schemas.openxmlformats.org/officeDocument/2006/relationships/hyperlink" Target="https://www.ceta.org.co/html/vista_de_un_articulo.asp?Norma=377" TargetMode="External"/><Relationship Id="rId29" Type="http://schemas.openxmlformats.org/officeDocument/2006/relationships/hyperlink" Target="https://www.ceta.org.co/html/vista_de_un_articulo.asp?Norma=60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76" TargetMode="External"/><Relationship Id="rId11" Type="http://schemas.openxmlformats.org/officeDocument/2006/relationships/hyperlink" Target="https://www.ceta.org.co/html/vista_de_un_articulo.asp?Norma=595" TargetMode="External"/><Relationship Id="rId24" Type="http://schemas.openxmlformats.org/officeDocument/2006/relationships/hyperlink" Target="https://www.ceta.org.co/html/vista_de_un_articulo.asp?Norma=762" TargetMode="External"/><Relationship Id="rId32" Type="http://schemas.openxmlformats.org/officeDocument/2006/relationships/hyperlink" Target="https://www.ceta.org.co/html/vista_de_un_articulo.asp?Norma=550" TargetMode="External"/><Relationship Id="rId37" Type="http://schemas.openxmlformats.org/officeDocument/2006/relationships/hyperlink" Target="https://www.ceta.org.co/html/vista_de_un_articulo.asp?Norma=519" TargetMode="External"/><Relationship Id="rId40" Type="http://schemas.openxmlformats.org/officeDocument/2006/relationships/fontTable" Target="fontTable.xml"/><Relationship Id="rId5" Type="http://schemas.openxmlformats.org/officeDocument/2006/relationships/hyperlink" Target="https://www.ceta.org.co/html/vista_de_un_articulo.asp?Norma=342" TargetMode="External"/><Relationship Id="rId15" Type="http://schemas.openxmlformats.org/officeDocument/2006/relationships/hyperlink" Target="https://www.ceta.org.co/html/vista_de_un_articulo.asp?Norma=342" TargetMode="External"/><Relationship Id="rId23" Type="http://schemas.openxmlformats.org/officeDocument/2006/relationships/hyperlink" Target="https://www.ceta.org.co/html/vista_de_un_articulo.asp?Norma=761" TargetMode="External"/><Relationship Id="rId28" Type="http://schemas.openxmlformats.org/officeDocument/2006/relationships/hyperlink" Target="https://www.ceta.org.co/html/vista_de_un_articulo.asp?Norma=601" TargetMode="External"/><Relationship Id="rId36"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50" TargetMode="External"/><Relationship Id="rId19" Type="http://schemas.openxmlformats.org/officeDocument/2006/relationships/hyperlink" Target="https://www.ceta.org.co/html/vista_de_un_articulo.asp?Norma=376" TargetMode="External"/><Relationship Id="rId31" Type="http://schemas.openxmlformats.org/officeDocument/2006/relationships/hyperlink" Target="https://www.ceta.org.co/html/vista_de_un_articulo.asp?Norma=764"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548" TargetMode="External"/><Relationship Id="rId14" Type="http://schemas.openxmlformats.org/officeDocument/2006/relationships/hyperlink" Target="https://www.ceta.org.co/html/vista_de_un_articulo.asp?Norma=342" TargetMode="External"/><Relationship Id="rId22" Type="http://schemas.openxmlformats.org/officeDocument/2006/relationships/hyperlink" Target="https://www.ceta.org.co/html/vista_de_un_articulo.asp?Norma=957" TargetMode="External"/><Relationship Id="rId27" Type="http://schemas.openxmlformats.org/officeDocument/2006/relationships/hyperlink" Target="https://www.ceta.org.co/html/vista_de_un_articulo.asp?Norma=519" TargetMode="External"/><Relationship Id="rId30" Type="http://schemas.openxmlformats.org/officeDocument/2006/relationships/hyperlink" Target="https://www.ceta.org.co/html/vista_de_un_articulo.asp?Norma=54" TargetMode="External"/><Relationship Id="rId35"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4355</Words>
  <Characters>21735</Characters>
  <Application>Microsoft Office Word</Application>
  <DocSecurity>0</DocSecurity>
  <Lines>410</Lines>
  <Paragraphs>183</Paragraphs>
  <ScaleCrop>false</ScaleCrop>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2019-11-02T00:23:00Z</dcterms:created>
  <dcterms:modified xsi:type="dcterms:W3CDTF">2019-11-22T22:13:00Z</dcterms:modified>
</cp:coreProperties>
</file>